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C9" w:rsidRPr="000227C9" w:rsidRDefault="000227C9" w:rsidP="000227C9">
      <w:pPr>
        <w:jc w:val="center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ТЕХНИЧЕСКОЕ ЗАДАНИЕ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Наименование лота:  финансовая аренда (лизинг) на приобретение автомобиля колесного экскаватора JCBJS160W (или эквивалент)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 xml:space="preserve">Место поставки Товара: 423602, Республика Татарстан, </w:t>
      </w:r>
      <w:proofErr w:type="spellStart"/>
      <w:r w:rsidRPr="000227C9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>Елабуга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0227C9">
        <w:rPr>
          <w:rFonts w:ascii="Arial" w:hAnsi="Arial" w:cs="Arial"/>
          <w:sz w:val="24"/>
          <w:szCs w:val="24"/>
        </w:rPr>
        <w:t xml:space="preserve"> ул. </w:t>
      </w:r>
      <w:r>
        <w:rPr>
          <w:rFonts w:ascii="Arial" w:hAnsi="Arial" w:cs="Arial"/>
          <w:sz w:val="24"/>
          <w:szCs w:val="24"/>
        </w:rPr>
        <w:t>Интернациональная, 9а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 xml:space="preserve">Предмет договора: Финансовая аренда (лизинг) на приобретение колесного экскаватора JCBJS160W </w:t>
      </w:r>
    </w:p>
    <w:tbl>
      <w:tblPr>
        <w:tblpPr w:leftFromText="180" w:rightFromText="180" w:vertAnchor="text" w:horzAnchor="margin" w:tblpX="-10" w:tblpY="366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612"/>
        <w:gridCol w:w="5954"/>
        <w:gridCol w:w="850"/>
        <w:gridCol w:w="1078"/>
      </w:tblGrid>
      <w:tr w:rsidR="000227C9" w:rsidTr="000227C9">
        <w:trPr>
          <w:trHeight w:val="26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9" w:rsidRPr="000227C9" w:rsidRDefault="000227C9" w:rsidP="000227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27C9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9" w:rsidRPr="000227C9" w:rsidRDefault="000227C9" w:rsidP="000227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27C9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7C9" w:rsidRPr="000227C9" w:rsidRDefault="000227C9" w:rsidP="000227C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27C9">
              <w:rPr>
                <w:rFonts w:ascii="Arial" w:hAnsi="Arial" w:cs="Arial"/>
                <w:b/>
                <w:sz w:val="24"/>
                <w:szCs w:val="24"/>
              </w:rPr>
              <w:t>Требования к техническим характеристикам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9" w:rsidRPr="000227C9" w:rsidRDefault="000227C9" w:rsidP="000227C9">
            <w:pPr>
              <w:spacing w:after="0"/>
              <w:ind w:left="44" w:hanging="4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27C9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9" w:rsidRPr="00EC561C" w:rsidRDefault="000227C9" w:rsidP="000227C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C561C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</w:tr>
      <w:tr w:rsidR="000227C9" w:rsidTr="000227C9">
        <w:trPr>
          <w:trHeight w:val="63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9" w:rsidRPr="000227C9" w:rsidRDefault="000227C9" w:rsidP="000227C9">
            <w:pPr>
              <w:spacing w:after="0" w:line="240" w:lineRule="auto"/>
              <w:ind w:left="-599" w:firstLine="59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27C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C9" w:rsidRPr="000227C9" w:rsidRDefault="000227C9" w:rsidP="000227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Колесный экскаватор JCBJS160W</w:t>
            </w:r>
          </w:p>
          <w:p w:rsidR="000227C9" w:rsidRPr="000227C9" w:rsidRDefault="000227C9" w:rsidP="000227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227C9">
              <w:rPr>
                <w:rFonts w:ascii="Arial" w:hAnsi="Arial" w:cs="Arial"/>
                <w:b/>
                <w:sz w:val="24"/>
                <w:szCs w:val="24"/>
              </w:rPr>
              <w:t>Экскаватор должен соответствовать следующим характеристикам (и комплектации):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Год выпуска 202</w:t>
            </w:r>
            <w:r w:rsidR="009B473A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Базовая конструкция;</w:t>
            </w:r>
          </w:p>
          <w:p w:rsidR="00926D59" w:rsidRDefault="00926D59" w:rsidP="00926D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D59">
              <w:rPr>
                <w:rFonts w:ascii="Arial" w:hAnsi="Arial" w:cs="Arial"/>
                <w:sz w:val="24"/>
                <w:szCs w:val="24"/>
              </w:rPr>
              <w:t xml:space="preserve">Двигатель: модель DISELMAX 444 </w:t>
            </w:r>
          </w:p>
          <w:p w:rsidR="00926D59" w:rsidRPr="00926D59" w:rsidRDefault="00926D59" w:rsidP="00926D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D59">
              <w:rPr>
                <w:rFonts w:ascii="Arial" w:hAnsi="Arial" w:cs="Arial"/>
                <w:sz w:val="24"/>
                <w:szCs w:val="24"/>
              </w:rPr>
              <w:t xml:space="preserve">Тип: четырехтактный рядный четырехцилиндровый дизельный двигатель с </w:t>
            </w:r>
            <w:proofErr w:type="spellStart"/>
            <w:r w:rsidRPr="00926D59">
              <w:rPr>
                <w:rFonts w:ascii="Arial" w:hAnsi="Arial" w:cs="Arial"/>
                <w:sz w:val="24"/>
                <w:szCs w:val="24"/>
              </w:rPr>
              <w:t>турбонаддувом</w:t>
            </w:r>
            <w:proofErr w:type="spellEnd"/>
            <w:r w:rsidRPr="00926D59">
              <w:rPr>
                <w:rFonts w:ascii="Arial" w:hAnsi="Arial" w:cs="Arial"/>
                <w:sz w:val="24"/>
                <w:szCs w:val="24"/>
              </w:rPr>
              <w:t>, жидкостным охлаждением и прямым впрыском</w:t>
            </w:r>
          </w:p>
          <w:p w:rsidR="00926D59" w:rsidRDefault="00926D59" w:rsidP="00926D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D59">
              <w:rPr>
                <w:rFonts w:ascii="Arial" w:hAnsi="Arial" w:cs="Arial"/>
                <w:sz w:val="24"/>
                <w:szCs w:val="24"/>
              </w:rPr>
              <w:t>Номинальная мощность двигателя: не менее 97кВт (130л.с.)</w:t>
            </w:r>
          </w:p>
          <w:p w:rsidR="000227C9" w:rsidRPr="000227C9" w:rsidRDefault="000227C9" w:rsidP="00926D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Генератор переменного тока 24В, 50А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Аккумуляторы 2х12В для тяжелого режима работы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 xml:space="preserve">Два фильтра фильтрации топлива с сепаратором для воды 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 xml:space="preserve">Эксплуатационный вес не более – </w:t>
            </w:r>
            <w:r w:rsidR="00926D59">
              <w:rPr>
                <w:rFonts w:ascii="Arial" w:hAnsi="Arial" w:cs="Arial"/>
                <w:sz w:val="24"/>
                <w:szCs w:val="24"/>
              </w:rPr>
              <w:t>16823</w:t>
            </w:r>
            <w:r w:rsidRPr="000227C9">
              <w:rPr>
                <w:rFonts w:ascii="Arial" w:hAnsi="Arial" w:cs="Arial"/>
                <w:sz w:val="24"/>
                <w:szCs w:val="24"/>
              </w:rPr>
              <w:t xml:space="preserve"> кг;</w:t>
            </w:r>
          </w:p>
          <w:p w:rsid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 xml:space="preserve">Габаритные размеры </w:t>
            </w:r>
            <w:proofErr w:type="spellStart"/>
            <w:r w:rsidRPr="000227C9">
              <w:rPr>
                <w:rFonts w:ascii="Arial" w:hAnsi="Arial" w:cs="Arial"/>
                <w:sz w:val="24"/>
                <w:szCs w:val="24"/>
              </w:rPr>
              <w:t>ДхШхВ</w:t>
            </w:r>
            <w:proofErr w:type="spellEnd"/>
            <w:r w:rsidRPr="000227C9">
              <w:rPr>
                <w:rFonts w:ascii="Arial" w:hAnsi="Arial" w:cs="Arial"/>
                <w:sz w:val="24"/>
                <w:szCs w:val="24"/>
              </w:rPr>
              <w:t xml:space="preserve"> не более, мм: 8306х2490х3195</w:t>
            </w:r>
          </w:p>
          <w:p w:rsidR="00926D59" w:rsidRPr="000227C9" w:rsidRDefault="00926D5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Тандемный гидронасос производительностью 2х130 л/мин;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Глубина копания, не менее 6451 мм;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Максимальная высота копания, не менее 9688 мм;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Максимальный вылет (на уровне земли), не менее 9351 мм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Максимальная высота погрузки поверх бортов, не менее 7174 мм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Максимальная скорость передвижения, не менее 25 км/ч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Внутренняя ширина по спаренным колесам не менее, мм: 1330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Внешняя ширина по спаренным колесам не менее, мм: 2490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Дорожный просвет не менее, мм: 350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Расстояние от центральной оси спаренных колес до земли, не менее, мм: 498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Длина задней части не менее. мм: 2330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lastRenderedPageBreak/>
              <w:t>Просвет под противовесом не менее, мм: 1270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Скорость поворота платформы не менее, об/мин: 10,4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Высокопрочная ребристая U-образная секция ходовая часть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Привод на четыре колеса, Передний управляемый мост – качающийся (для передвижения по пересеченной местности)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Допустимая нагрузка на мосты не менее 32т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Рулевое управление – полностью гидравлическая система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Полностью гидравлическая двухконтурная тормозная система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Стояночный тормоз – встроен в трансмиссию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Основные насосы – два аксиально-поршневых насоса с переменным объемом с потоком не менее, л/мин: 2х138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Максимальное давление в основном контуре не менее 343 бар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Система управления экскаватором AMS: А (АВТО 100% мощности 100% потока); Е (ЭКОНОМИЯ 80% мощности 95% потока); Р (ТОЧНОСТЬ 55% мощности 90% потока); L (ПОДЪЕМ 55% мощности 63% потока)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Шины сдвоенные 10.00*20 (16PR);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Топливный бак: не менее 310 л не более 400 л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Система охлаждения двигателя не менее 19,5 л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Масло двигателя не более 20,4 л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Гидравлическая система не более 124 л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Гидравлический бак не более 73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Трансмиссия не более 25 л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Дифференциалы мостов не менее задний 12 л, передний 14л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Ступицы мостов каждая не менее 2 л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7C9">
              <w:rPr>
                <w:rFonts w:ascii="Arial" w:hAnsi="Arial" w:cs="Arial"/>
                <w:sz w:val="24"/>
                <w:szCs w:val="24"/>
              </w:rPr>
              <w:t>Отопитель</w:t>
            </w:r>
            <w:proofErr w:type="spellEnd"/>
            <w:r w:rsidRPr="000227C9">
              <w:rPr>
                <w:rFonts w:ascii="Arial" w:hAnsi="Arial" w:cs="Arial"/>
                <w:sz w:val="24"/>
                <w:szCs w:val="24"/>
              </w:rPr>
              <w:t xml:space="preserve"> кабины оператора;</w:t>
            </w:r>
          </w:p>
          <w:p w:rsidR="00926D59" w:rsidRDefault="00926D5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6D59">
              <w:rPr>
                <w:rFonts w:ascii="Arial" w:hAnsi="Arial" w:cs="Arial"/>
                <w:sz w:val="24"/>
                <w:szCs w:val="24"/>
              </w:rPr>
              <w:t>Климат-контроль</w:t>
            </w:r>
            <w:r>
              <w:rPr>
                <w:rFonts w:ascii="Arial" w:hAnsi="Arial" w:cs="Arial"/>
                <w:sz w:val="24"/>
                <w:szCs w:val="24"/>
              </w:rPr>
              <w:t xml:space="preserve"> кабины оператора;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7C9">
              <w:rPr>
                <w:rFonts w:ascii="Arial" w:hAnsi="Arial" w:cs="Arial"/>
                <w:sz w:val="24"/>
                <w:szCs w:val="24"/>
              </w:rPr>
              <w:t>Монострела</w:t>
            </w:r>
            <w:proofErr w:type="spellEnd"/>
            <w:r w:rsidRPr="000227C9">
              <w:rPr>
                <w:rFonts w:ascii="Arial" w:hAnsi="Arial" w:cs="Arial"/>
                <w:sz w:val="24"/>
                <w:szCs w:val="24"/>
              </w:rPr>
              <w:t xml:space="preserve"> длиной, не менее 5,45 м 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Рукоять длиной, не менее 3,05 м;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Передний бульдозерный отвал;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Две задние выносные опоры;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Проблесковый маяк;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Электрический топливоперекачивающий насос c режимом отсечки;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Рабочее освещение на поворотной платформе и стреле экскаватора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Дополнительное рабочее освещение на кабине оператора;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 xml:space="preserve">Дополнительная система фильтрации гидравлического масла с точностью фильтрации не более 1,5 мкм;  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Аккумуляторная батарея увеличенной емкости;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Инструкция по эксплуатации на русском языке;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lastRenderedPageBreak/>
              <w:t>Телеметрическая система контроля техники (бесплатное обслуживание не менее 1 года);</w:t>
            </w:r>
          </w:p>
          <w:p w:rsidR="000227C9" w:rsidRPr="000227C9" w:rsidRDefault="000227C9" w:rsidP="00926D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 xml:space="preserve">Ковш </w:t>
            </w:r>
            <w:r w:rsidR="00926D59">
              <w:rPr>
                <w:rFonts w:ascii="Arial" w:hAnsi="Arial" w:cs="Arial"/>
                <w:sz w:val="24"/>
                <w:szCs w:val="24"/>
              </w:rPr>
              <w:t>1</w:t>
            </w:r>
            <w:r w:rsidRPr="000227C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27C9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  <w:r w:rsidRPr="000227C9">
              <w:rPr>
                <w:rFonts w:ascii="Arial" w:hAnsi="Arial" w:cs="Arial"/>
                <w:sz w:val="24"/>
                <w:szCs w:val="24"/>
              </w:rPr>
              <w:t>:</w:t>
            </w:r>
            <w:r w:rsidR="00926D59">
              <w:rPr>
                <w:rFonts w:ascii="Arial" w:hAnsi="Arial" w:cs="Arial"/>
                <w:sz w:val="24"/>
                <w:szCs w:val="24"/>
              </w:rPr>
              <w:t xml:space="preserve"> объем не мене 0,72</w:t>
            </w:r>
            <w:r w:rsidRPr="000227C9">
              <w:rPr>
                <w:rFonts w:ascii="Arial" w:hAnsi="Arial" w:cs="Arial"/>
                <w:sz w:val="24"/>
                <w:szCs w:val="24"/>
              </w:rPr>
              <w:t>м</w:t>
            </w:r>
            <w:r w:rsidRPr="000227C9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</w:t>
            </w:r>
            <w:r w:rsidRPr="00022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D5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227C9" w:rsidRP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27C9">
              <w:rPr>
                <w:rFonts w:ascii="Arial" w:hAnsi="Arial" w:cs="Arial"/>
                <w:sz w:val="24"/>
                <w:szCs w:val="24"/>
              </w:rPr>
              <w:t>Гидролиния</w:t>
            </w:r>
            <w:proofErr w:type="spellEnd"/>
            <w:r w:rsidRPr="000227C9">
              <w:rPr>
                <w:rFonts w:ascii="Arial" w:hAnsi="Arial" w:cs="Arial"/>
                <w:sz w:val="24"/>
                <w:szCs w:val="24"/>
              </w:rPr>
              <w:t xml:space="preserve"> для подключения </w:t>
            </w:r>
            <w:proofErr w:type="spellStart"/>
            <w:r w:rsidRPr="000227C9">
              <w:rPr>
                <w:rFonts w:ascii="Arial" w:hAnsi="Arial" w:cs="Arial"/>
                <w:sz w:val="24"/>
                <w:szCs w:val="24"/>
              </w:rPr>
              <w:t>гидромолота</w:t>
            </w:r>
            <w:proofErr w:type="spellEnd"/>
            <w:r w:rsidR="00926D5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227C9" w:rsidRDefault="000227C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t>Автосцепка</w:t>
            </w:r>
          </w:p>
          <w:p w:rsidR="00926D59" w:rsidRDefault="00926D5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 доступа к системе спутникового мониторинга</w:t>
            </w:r>
          </w:p>
          <w:p w:rsidR="00926D59" w:rsidRDefault="00926D5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Автоматический переход на холостые обороты;</w:t>
            </w:r>
          </w:p>
          <w:p w:rsidR="00926D59" w:rsidRDefault="00926D5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 снижения ударных и вибрационных нагрузок.</w:t>
            </w:r>
          </w:p>
          <w:p w:rsidR="00926D59" w:rsidRPr="000227C9" w:rsidRDefault="00926D59" w:rsidP="000227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Инструментальный ящик.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9" w:rsidRPr="000227C9" w:rsidRDefault="000227C9" w:rsidP="000227C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7C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7C9" w:rsidRPr="00EC561C" w:rsidRDefault="000227C9" w:rsidP="000227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561C">
              <w:rPr>
                <w:rFonts w:ascii="Times New Roman" w:hAnsi="Times New Roman" w:cs="Times New Roman"/>
              </w:rPr>
              <w:t>шт.</w:t>
            </w:r>
          </w:p>
        </w:tc>
      </w:tr>
    </w:tbl>
    <w:p w:rsid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Спецификация колесного экскаватора JCBJS160W: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Назначение транспортного средства по ПТС</w:t>
      </w:r>
    </w:p>
    <w:p w:rsidR="00926D59" w:rsidRDefault="00926D59" w:rsidP="000227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Колесный экскаватор JCBJS160W 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Гарантия на колесный экскаватор JCBJS160W (гарантия на шасси и внутреннее и внешнее оснащение автомобиля предоставляется их заводами-изготовителями)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2 года или 5000 м/ч– в зависимости от того, что из указанного наступит ранее.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Срок поставки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0227C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двадцать</w:t>
      </w:r>
      <w:r w:rsidRPr="000227C9">
        <w:rPr>
          <w:rFonts w:ascii="Arial" w:hAnsi="Arial" w:cs="Arial"/>
          <w:sz w:val="24"/>
          <w:szCs w:val="24"/>
        </w:rPr>
        <w:t xml:space="preserve">) календарных дней с даты поступления </w:t>
      </w:r>
      <w:r>
        <w:rPr>
          <w:rFonts w:ascii="Arial" w:hAnsi="Arial" w:cs="Arial"/>
          <w:sz w:val="24"/>
          <w:szCs w:val="24"/>
        </w:rPr>
        <w:t xml:space="preserve">авансового </w:t>
      </w:r>
      <w:r w:rsidRPr="000227C9">
        <w:rPr>
          <w:rFonts w:ascii="Arial" w:hAnsi="Arial" w:cs="Arial"/>
          <w:sz w:val="24"/>
          <w:szCs w:val="24"/>
        </w:rPr>
        <w:t>платежа</w:t>
      </w:r>
      <w:r>
        <w:rPr>
          <w:rFonts w:ascii="Arial" w:hAnsi="Arial" w:cs="Arial"/>
          <w:sz w:val="24"/>
          <w:szCs w:val="24"/>
        </w:rPr>
        <w:t xml:space="preserve"> (10%)</w:t>
      </w:r>
      <w:r w:rsidRPr="000227C9">
        <w:rPr>
          <w:rFonts w:ascii="Arial" w:hAnsi="Arial" w:cs="Arial"/>
          <w:sz w:val="24"/>
          <w:szCs w:val="24"/>
        </w:rPr>
        <w:t xml:space="preserve"> на расчетный счет Лизингодателя. 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Требования к документации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227C9">
        <w:rPr>
          <w:rFonts w:ascii="Arial" w:hAnsi="Arial" w:cs="Arial"/>
          <w:sz w:val="24"/>
          <w:szCs w:val="24"/>
        </w:rPr>
        <w:t>«Поставщик» обязан передать «Покупателю» комплект документов, включающий в себя товарную накладную, счет-фактуру, акт приема передачи, также  документы, содержащие условия гарантии, сертификаты соответствия, паспорт, сервисную книжку с гарантийными талонами, руководство по эксплуатации и т.д.</w:t>
      </w:r>
      <w:proofErr w:type="gramEnd"/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 xml:space="preserve"> Поставляемый Товар должен иметь соответствующие документы, подтверждающие его качество и иную документацию, включающую описание, характеристику Товара и т.д. Вышеуказанная документация, относящаяся к поставляемому Товару, должна быть представлена при поставке Товара. Форма документации должна соответствовать требованиям, предъявляемым нормативными актами и документации подобного уровня и типа в Российской Федерации.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227C9">
        <w:rPr>
          <w:rFonts w:ascii="Arial" w:hAnsi="Arial" w:cs="Arial"/>
          <w:sz w:val="24"/>
          <w:szCs w:val="24"/>
        </w:rPr>
        <w:t>Требования к качественным характеристикам Товара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 xml:space="preserve">     Поставляемый Товар должен быть изготовлен в заводских условиях в соответствии со стандартами, показателями и параметрами и ГОСТами, утвержденными на данный вид Товара.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 xml:space="preserve">     Поставляемый Товар должен являться новым, не бывшим в эксплуатации, протестированным на работоспособность, готовым к эксплуатации, ранее не использованными (все составные части Товара должны быть новыми), не восстановленными и не содержать восстановленных элементов, не должны иметь дефектов, связанных с конструкцией, материалами или функционированием при штатном их использовании. </w:t>
      </w:r>
    </w:p>
    <w:p w:rsidR="000227C9" w:rsidRPr="000227C9" w:rsidRDefault="000227C9" w:rsidP="000227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Требования к сроку и объему  предоставления гарантий качества товар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lastRenderedPageBreak/>
        <w:t>Поставщик должен гарантировать, что поставляемый Товар изготовлен в соответствии со стандартами, показателями и параметрами, утвержденными на данный вид Товара, требованиями производителя, и является новым и ранее не использованным, не будет иметь дефектов, связанных с конструкцией, материалами или функционированием при штатном их использовании.</w:t>
      </w:r>
    </w:p>
    <w:p w:rsidR="000227C9" w:rsidRPr="000227C9" w:rsidRDefault="000227C9" w:rsidP="000227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Поставщик обязуется выполнять гарантийное обслуживание поставляемого Товара без дополнительных расходов со стороны Заказчика.</w:t>
      </w:r>
    </w:p>
    <w:p w:rsidR="000227C9" w:rsidRPr="000227C9" w:rsidRDefault="000227C9" w:rsidP="000227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Под гарантийным обслуживанием подразумевается замена поставленного Товара надлежащего качества при обнаружении брака и восстановление работоспособности.</w:t>
      </w:r>
    </w:p>
    <w:p w:rsidR="000227C9" w:rsidRPr="000227C9" w:rsidRDefault="000227C9" w:rsidP="000227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Поставщиком, вместе с товаром, должен быть предоставлен документ, подтверждающий гарантию производителя данного товара, с указанием срока действия такой гарантии, при этом предоставление такой гарантии осуществляется вместе с товаром.</w:t>
      </w:r>
    </w:p>
    <w:p w:rsidR="000227C9" w:rsidRPr="000227C9" w:rsidRDefault="000227C9" w:rsidP="000227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Кроме того, поставщик предоставляет и свою собственную гарантию, срок действия которой должен быть не менее чем срок действия гарантии производителя товара.</w:t>
      </w:r>
    </w:p>
    <w:p w:rsidR="000227C9" w:rsidRPr="000227C9" w:rsidRDefault="000227C9" w:rsidP="000227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Поставщиком вышеуказанным способом должны быть обеспечены такие  обязательства как: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 xml:space="preserve">- обязательство предоставления вместе с товаром гарантий производителя и поставщика на товар, 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- обязательство поставить товар, в установленный договором срок.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 xml:space="preserve"> Условия лизинга: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Срок поставки ТС (передача предмета лизинга Лизингополучателю):</w:t>
      </w:r>
      <w:r w:rsidRPr="000227C9">
        <w:rPr>
          <w:rFonts w:ascii="Arial" w:hAnsi="Arial" w:cs="Arial"/>
          <w:sz w:val="24"/>
          <w:szCs w:val="24"/>
        </w:rPr>
        <w:tab/>
        <w:t>Товар должен быть предоставлен в сроки согласно условиям договора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лизинга:  </w:t>
      </w:r>
      <w:r>
        <w:rPr>
          <w:rFonts w:ascii="Arial" w:hAnsi="Arial" w:cs="Arial"/>
          <w:sz w:val="24"/>
          <w:szCs w:val="24"/>
        </w:rPr>
        <w:tab/>
        <w:t>60</w:t>
      </w:r>
      <w:r w:rsidRPr="000227C9">
        <w:rPr>
          <w:rFonts w:ascii="Arial" w:hAnsi="Arial" w:cs="Arial"/>
          <w:sz w:val="24"/>
          <w:szCs w:val="24"/>
        </w:rPr>
        <w:t xml:space="preserve"> мес.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Авансовый платеж:</w:t>
      </w:r>
      <w:r w:rsidRPr="000227C9"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0</w:t>
      </w:r>
      <w:r w:rsidRPr="000227C9">
        <w:rPr>
          <w:rFonts w:ascii="Arial" w:hAnsi="Arial" w:cs="Arial"/>
          <w:sz w:val="24"/>
          <w:szCs w:val="24"/>
        </w:rPr>
        <w:t>%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Платежи:</w:t>
      </w:r>
      <w:r w:rsidRPr="000227C9">
        <w:rPr>
          <w:rFonts w:ascii="Arial" w:hAnsi="Arial" w:cs="Arial"/>
          <w:sz w:val="24"/>
          <w:szCs w:val="24"/>
        </w:rPr>
        <w:tab/>
        <w:t>Ежемесячно, равными долями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Балансодержатель:</w:t>
      </w:r>
      <w:r w:rsidRPr="000227C9">
        <w:rPr>
          <w:rFonts w:ascii="Arial" w:hAnsi="Arial" w:cs="Arial"/>
          <w:sz w:val="24"/>
          <w:szCs w:val="24"/>
        </w:rPr>
        <w:tab/>
        <w:t>Лизингополучатель</w:t>
      </w:r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Государственная регистрация и ТО (постановка на учет, снятие с учета, ГТО, ОСАГО, КАСКО):</w:t>
      </w:r>
      <w:r w:rsidRPr="000227C9">
        <w:rPr>
          <w:rFonts w:ascii="Arial" w:hAnsi="Arial" w:cs="Arial"/>
          <w:sz w:val="24"/>
          <w:szCs w:val="24"/>
        </w:rPr>
        <w:tab/>
        <w:t>Не включены в сумму договора финансовой аренды (лизинга)</w:t>
      </w:r>
    </w:p>
    <w:p w:rsid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Начальная (максимальная) цена</w:t>
      </w:r>
      <w:r w:rsidRPr="000227C9">
        <w:rPr>
          <w:rFonts w:ascii="Arial" w:hAnsi="Arial" w:cs="Arial"/>
          <w:sz w:val="24"/>
          <w:szCs w:val="24"/>
        </w:rPr>
        <w:tab/>
      </w:r>
      <w:r w:rsidR="00632B15">
        <w:rPr>
          <w:rFonts w:ascii="Arial" w:hAnsi="Arial" w:cs="Arial"/>
          <w:sz w:val="24"/>
          <w:szCs w:val="24"/>
        </w:rPr>
        <w:t>15477554,00 с НДС.</w:t>
      </w:r>
    </w:p>
    <w:p w:rsidR="009B473A" w:rsidRDefault="000227C9" w:rsidP="000227C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227C9">
        <w:rPr>
          <w:rFonts w:ascii="Arial" w:hAnsi="Arial" w:cs="Arial"/>
          <w:sz w:val="24"/>
          <w:szCs w:val="24"/>
        </w:rPr>
        <w:t xml:space="preserve">Начальная (максимальная) цена договора включает стоимость предмета лизинга, величину процентов, уплачиваемых по договору лизинга, </w:t>
      </w:r>
      <w:r w:rsidR="009B473A">
        <w:rPr>
          <w:rFonts w:ascii="Arial" w:hAnsi="Arial" w:cs="Arial"/>
          <w:sz w:val="24"/>
          <w:szCs w:val="24"/>
        </w:rPr>
        <w:t xml:space="preserve">выкупная стоимость, </w:t>
      </w:r>
      <w:r w:rsidRPr="000227C9">
        <w:rPr>
          <w:rFonts w:ascii="Arial" w:hAnsi="Arial" w:cs="Arial"/>
          <w:sz w:val="24"/>
          <w:szCs w:val="24"/>
        </w:rPr>
        <w:t xml:space="preserve">комиссионные сборы,  накладные расходы, транспортные расходы, расходы по хранению товара,  доставку товара до склада Лизингополучателя, пошлины, таможенные платежи, и прочие сборы. </w:t>
      </w:r>
      <w:proofErr w:type="gramEnd"/>
    </w:p>
    <w:p w:rsidR="000227C9" w:rsidRP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Место передачи ТС:</w:t>
      </w:r>
      <w:r w:rsidRPr="000227C9">
        <w:rPr>
          <w:rFonts w:ascii="Arial" w:hAnsi="Arial" w:cs="Arial"/>
          <w:sz w:val="24"/>
          <w:szCs w:val="24"/>
        </w:rPr>
        <w:tab/>
        <w:t xml:space="preserve">Россия, РТ, г. </w:t>
      </w:r>
      <w:r>
        <w:rPr>
          <w:rFonts w:ascii="Arial" w:hAnsi="Arial" w:cs="Arial"/>
          <w:sz w:val="24"/>
          <w:szCs w:val="24"/>
        </w:rPr>
        <w:t>Елабуга, ул. Интернациональная, 9а</w:t>
      </w:r>
    </w:p>
    <w:p w:rsidR="000227C9" w:rsidRDefault="000227C9" w:rsidP="000227C9">
      <w:pPr>
        <w:jc w:val="both"/>
        <w:rPr>
          <w:rFonts w:ascii="Arial" w:hAnsi="Arial" w:cs="Arial"/>
          <w:sz w:val="24"/>
          <w:szCs w:val="24"/>
        </w:rPr>
      </w:pPr>
      <w:r w:rsidRPr="000227C9">
        <w:rPr>
          <w:rFonts w:ascii="Arial" w:hAnsi="Arial" w:cs="Arial"/>
          <w:sz w:val="24"/>
          <w:szCs w:val="24"/>
        </w:rPr>
        <w:t>Продавец Предмета лизинга:</w:t>
      </w:r>
      <w:r w:rsidRPr="000227C9">
        <w:rPr>
          <w:rFonts w:ascii="Arial" w:hAnsi="Arial" w:cs="Arial"/>
          <w:sz w:val="24"/>
          <w:szCs w:val="24"/>
        </w:rPr>
        <w:tab/>
        <w:t>по выбору Лизингодателя.</w:t>
      </w:r>
    </w:p>
    <w:p w:rsidR="00632B15" w:rsidRPr="00632B15" w:rsidRDefault="00632B15" w:rsidP="00632B15">
      <w:pPr>
        <w:spacing w:after="0"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632B15">
        <w:rPr>
          <w:rFonts w:ascii="Times New Roman" w:eastAsia="Calibri" w:hAnsi="Times New Roman" w:cs="Times New Roman"/>
          <w:b/>
          <w:sz w:val="24"/>
          <w:szCs w:val="24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632B15" w:rsidRPr="00632B15" w:rsidTr="003E666F">
        <w:trPr>
          <w:trHeight w:val="375"/>
        </w:trPr>
        <w:tc>
          <w:tcPr>
            <w:tcW w:w="817" w:type="dxa"/>
            <w:vAlign w:val="center"/>
          </w:tcPr>
          <w:p w:rsidR="00632B15" w:rsidRPr="00632B15" w:rsidRDefault="00632B15" w:rsidP="00632B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2B15">
              <w:rPr>
                <w:rFonts w:ascii="Times New Roman" w:eastAsia="Calibri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632B15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632B15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410" w:type="dxa"/>
            <w:vAlign w:val="center"/>
          </w:tcPr>
          <w:p w:rsidR="00632B15" w:rsidRPr="00632B15" w:rsidRDefault="00632B15" w:rsidP="00632B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2B15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  <w:tc>
          <w:tcPr>
            <w:tcW w:w="3827" w:type="dxa"/>
            <w:vAlign w:val="center"/>
          </w:tcPr>
          <w:p w:rsidR="00632B15" w:rsidRPr="00632B15" w:rsidRDefault="00632B15" w:rsidP="00632B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2B15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632B15" w:rsidRPr="00632B15" w:rsidRDefault="00632B15" w:rsidP="00632B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2B15">
              <w:rPr>
                <w:rFonts w:ascii="Times New Roman" w:eastAsia="Calibri" w:hAnsi="Times New Roman" w:cs="Times New Roman"/>
                <w:b/>
              </w:rPr>
              <w:t>Подпись\замечания</w:t>
            </w:r>
          </w:p>
        </w:tc>
      </w:tr>
      <w:tr w:rsidR="00632B15" w:rsidRPr="00632B15" w:rsidTr="003E666F">
        <w:trPr>
          <w:trHeight w:val="411"/>
        </w:trPr>
        <w:tc>
          <w:tcPr>
            <w:tcW w:w="817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2B1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32B15">
              <w:rPr>
                <w:rFonts w:ascii="Times New Roman" w:eastAsia="Calibri" w:hAnsi="Times New Roman" w:cs="Times New Roman"/>
              </w:rPr>
              <w:t>Проскин</w:t>
            </w:r>
            <w:proofErr w:type="spellEnd"/>
            <w:r w:rsidRPr="00632B15">
              <w:rPr>
                <w:rFonts w:ascii="Times New Roman" w:eastAsia="Calibri" w:hAnsi="Times New Roman" w:cs="Times New Roman"/>
              </w:rPr>
              <w:t xml:space="preserve"> С.В.</w:t>
            </w:r>
          </w:p>
        </w:tc>
        <w:tc>
          <w:tcPr>
            <w:tcW w:w="3827" w:type="dxa"/>
            <w:vAlign w:val="center"/>
          </w:tcPr>
          <w:p w:rsidR="00632B15" w:rsidRPr="00632B15" w:rsidRDefault="00632B15" w:rsidP="00632B1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632B15">
              <w:rPr>
                <w:rFonts w:ascii="Times New Roman" w:eastAsia="Calibri" w:hAnsi="Times New Roman" w:cs="Times New Roman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2B15" w:rsidRPr="00632B15" w:rsidTr="003E666F">
        <w:tc>
          <w:tcPr>
            <w:tcW w:w="817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2B1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632B15" w:rsidRPr="00632B15" w:rsidRDefault="00632B15" w:rsidP="00632B1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32B15">
              <w:rPr>
                <w:rFonts w:ascii="Times New Roman" w:eastAsia="Calibri" w:hAnsi="Times New Roman" w:cs="Times New Roman"/>
              </w:rPr>
              <w:t>Маликова Л.Ф.</w:t>
            </w:r>
          </w:p>
        </w:tc>
        <w:tc>
          <w:tcPr>
            <w:tcW w:w="3827" w:type="dxa"/>
          </w:tcPr>
          <w:p w:rsidR="00632B15" w:rsidRPr="00632B15" w:rsidRDefault="00632B15" w:rsidP="00632B1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632B15">
              <w:rPr>
                <w:rFonts w:ascii="Times New Roman" w:eastAsia="Calibri" w:hAnsi="Times New Roman" w:cs="Times New Roman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2B15" w:rsidRPr="00632B15" w:rsidTr="003E666F">
        <w:tc>
          <w:tcPr>
            <w:tcW w:w="817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2B1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32B15">
              <w:rPr>
                <w:rFonts w:ascii="Times New Roman" w:eastAsia="Calibri" w:hAnsi="Times New Roman" w:cs="Times New Roman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632B15" w:rsidRPr="00632B15" w:rsidRDefault="00632B15" w:rsidP="00632B1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632B15">
              <w:rPr>
                <w:rFonts w:ascii="Times New Roman" w:eastAsia="Calibri" w:hAnsi="Times New Roman" w:cs="Times New Roman"/>
              </w:rPr>
              <w:t xml:space="preserve">Директор </w:t>
            </w:r>
            <w:proofErr w:type="spellStart"/>
            <w:r w:rsidRPr="00632B15">
              <w:rPr>
                <w:rFonts w:ascii="Times New Roman" w:eastAsia="Calibri" w:hAnsi="Times New Roman" w:cs="Times New Roman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2B15" w:rsidRPr="00632B15" w:rsidTr="003E666F">
        <w:tc>
          <w:tcPr>
            <w:tcW w:w="817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2B1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410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32B15">
              <w:rPr>
                <w:rFonts w:ascii="Times New Roman" w:eastAsia="Calibri" w:hAnsi="Times New Roman" w:cs="Times New Roman"/>
              </w:rPr>
              <w:t>Атаманчук</w:t>
            </w:r>
            <w:proofErr w:type="spellEnd"/>
            <w:r w:rsidRPr="00632B15">
              <w:rPr>
                <w:rFonts w:ascii="Times New Roman" w:eastAsia="Calibri" w:hAnsi="Times New Roman" w:cs="Times New Roman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632B15" w:rsidRPr="00632B15" w:rsidRDefault="00632B15" w:rsidP="00632B1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632B15">
              <w:rPr>
                <w:rFonts w:ascii="Times New Roman" w:eastAsia="Calibri" w:hAnsi="Times New Roman" w:cs="Times New Roman"/>
              </w:rPr>
              <w:t xml:space="preserve">Директор </w:t>
            </w:r>
            <w:proofErr w:type="spellStart"/>
            <w:r w:rsidRPr="00632B15">
              <w:rPr>
                <w:rFonts w:ascii="Times New Roman" w:eastAsia="Calibri" w:hAnsi="Times New Roman" w:cs="Times New Roman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2B15" w:rsidRPr="00632B15" w:rsidTr="003E666F">
        <w:tc>
          <w:tcPr>
            <w:tcW w:w="817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32B1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410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32B15">
              <w:rPr>
                <w:rFonts w:ascii="Times New Roman" w:eastAsia="Calibri" w:hAnsi="Times New Roman" w:cs="Times New Roman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632B15" w:rsidRPr="00632B15" w:rsidRDefault="00632B15" w:rsidP="00632B1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632B15">
              <w:rPr>
                <w:rFonts w:ascii="Times New Roman" w:eastAsia="Calibri" w:hAnsi="Times New Roman" w:cs="Times New Roman"/>
              </w:rPr>
              <w:t xml:space="preserve">Начальник </w:t>
            </w:r>
            <w:proofErr w:type="spellStart"/>
            <w:r w:rsidRPr="00632B15">
              <w:rPr>
                <w:rFonts w:ascii="Times New Roman" w:eastAsia="Calibri" w:hAnsi="Times New Roman" w:cs="Times New Roman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32B15" w:rsidRPr="00632B15" w:rsidTr="003E666F">
        <w:tc>
          <w:tcPr>
            <w:tcW w:w="817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10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Свиньяков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Ю.И.</w:t>
            </w:r>
          </w:p>
        </w:tc>
        <w:tc>
          <w:tcPr>
            <w:tcW w:w="3827" w:type="dxa"/>
            <w:vAlign w:val="center"/>
          </w:tcPr>
          <w:p w:rsidR="00632B15" w:rsidRPr="00632B15" w:rsidRDefault="00632B15" w:rsidP="00632B1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Начальник УСТ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632B15" w:rsidRPr="00632B15" w:rsidRDefault="00632B15" w:rsidP="00632B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32B15" w:rsidRPr="00632B15" w:rsidRDefault="00632B15" w:rsidP="00632B15">
      <w:pPr>
        <w:spacing w:after="0" w:line="276" w:lineRule="auto"/>
        <w:rPr>
          <w:rFonts w:ascii="Calibri Light" w:eastAsia="Calibri Light" w:hAnsi="Calibri Light" w:cs="Calibri Light"/>
          <w:sz w:val="18"/>
          <w:szCs w:val="18"/>
          <w:lang w:eastAsia="ru-RU"/>
        </w:rPr>
      </w:pPr>
    </w:p>
    <w:p w:rsidR="009B473A" w:rsidRDefault="009B473A" w:rsidP="000227C9">
      <w:pPr>
        <w:jc w:val="both"/>
        <w:rPr>
          <w:rFonts w:ascii="Arial" w:hAnsi="Arial" w:cs="Arial"/>
          <w:sz w:val="24"/>
          <w:szCs w:val="24"/>
        </w:rPr>
      </w:pPr>
    </w:p>
    <w:p w:rsidR="009B473A" w:rsidRDefault="009B473A" w:rsidP="000227C9">
      <w:pPr>
        <w:jc w:val="both"/>
        <w:rPr>
          <w:rFonts w:ascii="Arial" w:hAnsi="Arial" w:cs="Arial"/>
          <w:sz w:val="24"/>
          <w:szCs w:val="24"/>
        </w:rPr>
      </w:pPr>
    </w:p>
    <w:sectPr w:rsidR="009B473A" w:rsidSect="000227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247A8"/>
    <w:multiLevelType w:val="hybridMultilevel"/>
    <w:tmpl w:val="9DFE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C9"/>
    <w:rsid w:val="000227C9"/>
    <w:rsid w:val="00492BC2"/>
    <w:rsid w:val="00632B15"/>
    <w:rsid w:val="00926D59"/>
    <w:rsid w:val="009B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название,Bullet Number,Нумерованый список,Bullet List,FooterText,numbered,lp1,SL_Абзац списка,List Paragraph1,Абзац списка4,Абзац списка3,f_Абзац 1,List Paragraph,ПАРАГРАФ"/>
    <w:basedOn w:val="a"/>
    <w:link w:val="a4"/>
    <w:uiPriority w:val="34"/>
    <w:qFormat/>
    <w:rsid w:val="000227C9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Маркер Знак,название Знак,Bullet Number Знак,Нумерованый список Знак,Bullet List Знак,FooterText Знак,numbered Знак,lp1 Знак,SL_Абзац списка Знак,List Paragraph1 Знак,Абзац списка4 Знак,Абзац списка3 Знак,f_Абзац 1 Знак,ПАРАГРАФ Знак"/>
    <w:link w:val="a3"/>
    <w:uiPriority w:val="34"/>
    <w:locked/>
    <w:rsid w:val="00022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название,Bullet Number,Нумерованый список,Bullet List,FooterText,numbered,lp1,SL_Абзац списка,List Paragraph1,Абзац списка4,Абзац списка3,f_Абзац 1,List Paragraph,ПАРАГРАФ"/>
    <w:basedOn w:val="a"/>
    <w:link w:val="a4"/>
    <w:uiPriority w:val="34"/>
    <w:qFormat/>
    <w:rsid w:val="000227C9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Маркер Знак,название Знак,Bullet Number Знак,Нумерованый список Знак,Bullet List Знак,FooterText Знак,numbered Знак,lp1 Знак,SL_Абзац списка Знак,List Paragraph1 Знак,Абзац списка4 Знак,Абзац списка3 Знак,f_Абзац 1 Знак,ПАРАГРАФ Знак"/>
    <w:link w:val="a3"/>
    <w:uiPriority w:val="34"/>
    <w:locked/>
    <w:rsid w:val="0002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E787-C4CB-405D-A617-3DFC9781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Михайловна А</dc:creator>
  <cp:keywords/>
  <dc:description/>
  <cp:lastModifiedBy>Начальник ОМТС</cp:lastModifiedBy>
  <cp:revision>4</cp:revision>
  <dcterms:created xsi:type="dcterms:W3CDTF">2022-02-18T11:06:00Z</dcterms:created>
  <dcterms:modified xsi:type="dcterms:W3CDTF">2022-02-18T11:50:00Z</dcterms:modified>
</cp:coreProperties>
</file>