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7637F">
        <w:rPr>
          <w:rFonts w:ascii="Tahoma" w:eastAsia="Times New Roman" w:hAnsi="Tahoma" w:cs="Tahoma"/>
          <w:sz w:val="24"/>
          <w:szCs w:val="24"/>
          <w:lang w:eastAsia="ru-RU"/>
        </w:rPr>
        <w:t>31401078500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F4493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17637F"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поставку теплообменника в количестве 3 штуки для нужд</w:t>
      </w:r>
    </w:p>
    <w:p w:rsidR="00A2346A" w:rsidRPr="00B64408" w:rsidRDefault="0017637F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ОАО «</w:t>
      </w:r>
      <w:proofErr w:type="spellStart"/>
      <w:r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Pr="0017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ПТС»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44939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24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теплообменника в количестве 3 штуки для нужд ОАО «</w:t>
      </w:r>
      <w:proofErr w:type="spellStart"/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17637F"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1401078500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 309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F4493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377194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17637F" w:rsidRDefault="0017637F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Р.З,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7637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63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апреля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763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17637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A2346A" w:rsidP="0017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17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4B6" w:rsidRPr="00B64408" w:rsidRDefault="00E364B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Уралтехкомплектация</w:t>
            </w:r>
            <w:proofErr w:type="spellEnd"/>
            <w:r w:rsid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0AF3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17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7422045299</w:t>
            </w:r>
          </w:p>
          <w:p w:rsidR="00E364B6" w:rsidRPr="00B64408" w:rsidRDefault="00E364B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41301001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1107422000047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56780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309</w:t>
            </w:r>
          </w:p>
          <w:p w:rsidR="00A2346A" w:rsidRPr="00B64408" w:rsidRDefault="00AE0AF3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1701F"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456780, г. Озерск, </w:t>
            </w:r>
            <w:proofErr w:type="spellStart"/>
            <w:r w:rsidR="0061701F"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61701F"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61701F"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еменова</w:t>
            </w:r>
            <w:proofErr w:type="spellEnd"/>
            <w:r w:rsidR="0061701F"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офис 309</w:t>
            </w:r>
          </w:p>
        </w:tc>
      </w:tr>
      <w:tr w:rsidR="0061701F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Pr="00B64408" w:rsidRDefault="0061701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Default="006170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2014г</w:t>
            </w:r>
          </w:p>
          <w:p w:rsidR="0061701F" w:rsidRDefault="006170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 16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Pr="00B64408" w:rsidRDefault="0061701F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1F" w:rsidRDefault="0061701F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01F" w:rsidRP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1831158616</w:t>
            </w:r>
          </w:p>
          <w:p w:rsid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183101001</w:t>
            </w:r>
          </w:p>
          <w:p w:rsid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1131831001070</w:t>
            </w:r>
          </w:p>
          <w:p w:rsidR="0061701F" w:rsidRPr="0061701F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1701F" w:rsidRPr="00B64408" w:rsidRDefault="0061701F" w:rsidP="006170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426000, г. Ижевск, 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д.90</w:t>
            </w: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5"/>
        <w:gridCol w:w="1594"/>
        <w:gridCol w:w="2041"/>
      </w:tblGrid>
      <w:tr w:rsidR="00AE0AF3" w:rsidRPr="00B64408" w:rsidTr="00F4493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F44939">
        <w:trPr>
          <w:trHeight w:val="3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6170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теплообменника в количестве 3 штуки для нужд ОАО «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D140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D14033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14033" w:rsidP="00D14033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346A" w:rsidRPr="00B64408" w:rsidTr="00D1403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61701F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теплообменника в количестве 3 штуки для нужд ОАО «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4" w:rsidRPr="00B64408" w:rsidRDefault="00D1403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106711,86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D140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125920,00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D14033" w:rsidRPr="00B64408" w:rsidTr="00EA733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3" w:rsidRPr="00B64408" w:rsidRDefault="00D140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D14033" w:rsidRDefault="00D14033" w:rsidP="00D1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Уралтехкомплектация</w:t>
            </w:r>
            <w:proofErr w:type="spellEnd"/>
          </w:p>
        </w:tc>
      </w:tr>
      <w:tr w:rsidR="0061701F" w:rsidRPr="00B64408" w:rsidTr="00D1403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1F" w:rsidRPr="00B64408" w:rsidRDefault="006170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61701F" w:rsidRDefault="0061701F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теплообменника в количестве 3 штуки для нужд ОАО «</w:t>
            </w:r>
            <w:proofErr w:type="spellStart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D140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D1403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D1403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151782,00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D1403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F" w:rsidRPr="00B64408" w:rsidRDefault="0061701F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D14033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 связи с поступлением 2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>)  котировочн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заявки, отбор поставщиков  признан 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3" w:rsidRPr="00D14033" w:rsidRDefault="00A2346A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033"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="00D14033"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Уралтехкомплектация</w:t>
            </w:r>
            <w:proofErr w:type="spellEnd"/>
            <w:r w:rsidR="00D14033"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7422045299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741301001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1107422000047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456780, г. Озерск,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еменова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офис 309</w:t>
            </w:r>
          </w:p>
          <w:p w:rsidR="00B64408" w:rsidRPr="00B64408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456780, г. Озерск,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еменова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офис 309</w:t>
            </w:r>
          </w:p>
          <w:p w:rsidR="00DF3C14" w:rsidRPr="00B64408" w:rsidRDefault="00DF3C14" w:rsidP="00DF3C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46A" w:rsidRPr="00B64408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1403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Не </w:t>
            </w:r>
            <w:r w:rsidR="00A2346A"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D14033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B64408" w:rsidRDefault="00D1403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1831158616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183101001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1131831001070</w:t>
            </w:r>
          </w:p>
          <w:p w:rsidR="00D14033" w:rsidRPr="00D14033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426000, г. Ижевск,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д.90</w:t>
            </w:r>
          </w:p>
          <w:p w:rsidR="00D14033" w:rsidRPr="00B64408" w:rsidRDefault="00D14033" w:rsidP="00D1403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426000, г. Ижевск, </w:t>
            </w:r>
            <w:proofErr w:type="spellStart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D1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3" w:rsidRDefault="00D1403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Pr="00D1403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D14033" w:rsidRPr="00D14033" w:rsidRDefault="00A2346A" w:rsidP="00F44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="0061701F" w:rsidRPr="0061701F">
        <w:t xml:space="preserve"> </w:t>
      </w:r>
      <w:r w:rsidR="0061701F">
        <w:t>«</w:t>
      </w:r>
      <w:r w:rsidR="0061701F" w:rsidRP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</w:t>
      </w:r>
      <w:r w:rsid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1701F" w:rsidRP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теплообменника в количестве 3 штуки для нужд ОАО «</w:t>
      </w:r>
      <w:proofErr w:type="spellStart"/>
      <w:r w:rsidR="0061701F" w:rsidRP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61701F" w:rsidRPr="006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 </w:t>
      </w:r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</w:t>
      </w:r>
      <w:proofErr w:type="spellStart"/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Техэнергострой</w:t>
      </w:r>
      <w:proofErr w:type="spellEnd"/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1831158616</w:t>
      </w:r>
      <w:r w:rsid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КПП 183101001</w:t>
      </w:r>
      <w:r w:rsid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 1131831001070</w:t>
      </w:r>
      <w:r w:rsidR="00F44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дрес: 426000, г. Ижевск, </w:t>
      </w:r>
      <w:proofErr w:type="spellStart"/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ул.М.Горького</w:t>
      </w:r>
      <w:proofErr w:type="spellEnd"/>
      <w:r w:rsidR="00D14033"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д.90</w:t>
      </w:r>
    </w:p>
    <w:p w:rsidR="00B64408" w:rsidRPr="00B64408" w:rsidRDefault="00D14033" w:rsidP="00D14033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</w:t>
      </w:r>
      <w:proofErr w:type="gramStart"/>
      <w:r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426000, г. Ижевск, </w:t>
      </w:r>
      <w:proofErr w:type="spellStart"/>
      <w:r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ул.М.Горького</w:t>
      </w:r>
      <w:proofErr w:type="spellEnd"/>
      <w:r w:rsidRP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д.90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125 920 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1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двадцать пять тысяч девятьсот двадцать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Салахов Р.Р.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D14033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Григорьев 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D14033" w:rsidRDefault="00D14033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  <w:p w:rsidR="00D14033" w:rsidRPr="00D14033" w:rsidRDefault="00D14033" w:rsidP="00D1403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______________             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  <w:proofErr w:type="spellStart"/>
            <w:r w:rsidRPr="00D14033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>Янабирдин</w:t>
            </w:r>
            <w:proofErr w:type="spellEnd"/>
            <w:r w:rsidRPr="00D14033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 xml:space="preserve"> Р.З.</w:t>
            </w:r>
            <w:r w:rsidR="00F44939">
              <w:rPr>
                <w:rFonts w:ascii="Times New Roman" w:eastAsia="Times New Roman" w:hAnsi="Times New Roman" w:cs="Tahoma"/>
                <w:sz w:val="32"/>
                <w:szCs w:val="32"/>
                <w:u w:val="single"/>
                <w:vertAlign w:val="superscript"/>
                <w:lang w:eastAsia="ru-RU"/>
              </w:rPr>
              <w:t xml:space="preserve"> </w:t>
            </w:r>
          </w:p>
          <w:p w:rsidR="00D14033" w:rsidRDefault="00D14033" w:rsidP="00D1403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D14033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(Фамилия, Имя, Отчество)</w:t>
            </w:r>
          </w:p>
          <w:p w:rsidR="00A2346A" w:rsidRPr="00B64408" w:rsidRDefault="00A2346A" w:rsidP="00D1403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7637F"/>
    <w:rsid w:val="00197C93"/>
    <w:rsid w:val="00377194"/>
    <w:rsid w:val="0039336E"/>
    <w:rsid w:val="004F6465"/>
    <w:rsid w:val="0061701F"/>
    <w:rsid w:val="007366CF"/>
    <w:rsid w:val="00835807"/>
    <w:rsid w:val="008976AF"/>
    <w:rsid w:val="009F1E5A"/>
    <w:rsid w:val="00A2346A"/>
    <w:rsid w:val="00AE0AF3"/>
    <w:rsid w:val="00B64408"/>
    <w:rsid w:val="00D14033"/>
    <w:rsid w:val="00DF3C14"/>
    <w:rsid w:val="00E364B6"/>
    <w:rsid w:val="00E6195D"/>
    <w:rsid w:val="00E832FB"/>
    <w:rsid w:val="00F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0108-40B2-470A-8FE2-616B8C5C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2014-04-26T06:54:00Z</cp:lastPrinted>
  <dcterms:created xsi:type="dcterms:W3CDTF">2014-04-26T06:55:00Z</dcterms:created>
  <dcterms:modified xsi:type="dcterms:W3CDTF">2014-04-26T06:55:00Z</dcterms:modified>
</cp:coreProperties>
</file>